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5" w:rsidRPr="00E4422F" w:rsidRDefault="00877EC0" w:rsidP="00877EC0">
      <w:pPr>
        <w:pStyle w:val="NormalWeb"/>
        <w:tabs>
          <w:tab w:val="center" w:pos="4680"/>
          <w:tab w:val="right" w:pos="9360"/>
        </w:tabs>
        <w:spacing w:before="0" w:beforeAutospacing="0"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ab/>
      </w:r>
      <w:r w:rsidR="00D95E85" w:rsidRPr="00E4422F">
        <w:rPr>
          <w:rFonts w:ascii="Arial" w:hAnsi="Arial" w:cs="Arial"/>
          <w:b/>
          <w:color w:val="000000"/>
        </w:rPr>
        <w:t>BEFORE THE BOARD OF DIRECTORS OF THE</w:t>
      </w:r>
      <w:r>
        <w:rPr>
          <w:rFonts w:ascii="Arial" w:hAnsi="Arial" w:cs="Arial"/>
          <w:b/>
          <w:color w:val="000000"/>
        </w:rPr>
        <w:tab/>
      </w:r>
    </w:p>
    <w:p w:rsidR="00D95E85" w:rsidRDefault="00D95E85" w:rsidP="00D95E85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 w:rsidRPr="00E4422F">
        <w:rPr>
          <w:rFonts w:ascii="Arial" w:hAnsi="Arial" w:cs="Arial"/>
          <w:b/>
          <w:color w:val="000000"/>
        </w:rPr>
        <w:t>STALLION SPRINGS COMMUNITY SERVICES DISTRICT</w:t>
      </w:r>
      <w:r>
        <w:rPr>
          <w:rFonts w:ascii="Arial" w:hAnsi="Arial" w:cs="Arial"/>
          <w:b/>
          <w:color w:val="000000"/>
        </w:rPr>
        <w:tab/>
      </w:r>
    </w:p>
    <w:p w:rsidR="0069181B" w:rsidRDefault="0069181B" w:rsidP="00D95E85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</w:p>
    <w:p w:rsidR="00384505" w:rsidRDefault="0069181B" w:rsidP="0069181B">
      <w:pPr>
        <w:pStyle w:val="NormalWeb"/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83963">
        <w:rPr>
          <w:rFonts w:ascii="Arial" w:hAnsi="Arial" w:cs="Arial"/>
          <w:color w:val="000000"/>
          <w:u w:val="single"/>
        </w:rPr>
        <w:t>Resolution No. 2016-</w:t>
      </w:r>
      <w:r w:rsidR="001065D5">
        <w:rPr>
          <w:rFonts w:ascii="Arial" w:hAnsi="Arial" w:cs="Arial"/>
          <w:color w:val="000000"/>
          <w:u w:val="single"/>
        </w:rPr>
        <w:t xml:space="preserve"> </w:t>
      </w:r>
      <w:r w:rsidR="007A4AC9">
        <w:rPr>
          <w:rFonts w:ascii="Arial" w:hAnsi="Arial" w:cs="Arial"/>
          <w:color w:val="000000"/>
          <w:u w:val="single"/>
        </w:rPr>
        <w:t>16</w:t>
      </w:r>
      <w:r w:rsidR="00A15EE0">
        <w:rPr>
          <w:rFonts w:ascii="Arial" w:hAnsi="Arial" w:cs="Arial"/>
          <w:color w:val="000000"/>
          <w:u w:val="single"/>
        </w:rPr>
        <w:t>_</w:t>
      </w:r>
      <w:r w:rsidR="00384505">
        <w:rPr>
          <w:rFonts w:ascii="Arial" w:hAnsi="Arial" w:cs="Arial"/>
          <w:b/>
          <w:color w:val="000000"/>
        </w:rPr>
        <w:tab/>
      </w:r>
      <w:r w:rsidR="00384505">
        <w:rPr>
          <w:rFonts w:ascii="Arial" w:hAnsi="Arial" w:cs="Arial"/>
          <w:b/>
          <w:color w:val="000000"/>
        </w:rPr>
        <w:tab/>
      </w:r>
      <w:r w:rsidR="00384505">
        <w:rPr>
          <w:rFonts w:ascii="Arial" w:hAnsi="Arial" w:cs="Arial"/>
          <w:b/>
          <w:color w:val="000000"/>
        </w:rPr>
        <w:tab/>
      </w:r>
    </w:p>
    <w:p w:rsidR="00384505" w:rsidRDefault="00384505" w:rsidP="00D95E85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D95E85" w:rsidRPr="00877EC0" w:rsidRDefault="00D95E85" w:rsidP="00D95E85">
      <w:pPr>
        <w:jc w:val="both"/>
        <w:rPr>
          <w:sz w:val="24"/>
          <w:szCs w:val="24"/>
        </w:rPr>
      </w:pPr>
    </w:p>
    <w:p w:rsidR="00D95E85" w:rsidRDefault="00D95E85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>RE:  INCR</w:t>
      </w:r>
      <w:r w:rsidR="00A15EE0">
        <w:rPr>
          <w:sz w:val="24"/>
          <w:szCs w:val="24"/>
        </w:rPr>
        <w:t>EASE OF WATER SERVICE AND SEWER CAPACITY</w:t>
      </w:r>
      <w:r w:rsidRPr="00877EC0">
        <w:rPr>
          <w:sz w:val="24"/>
          <w:szCs w:val="24"/>
        </w:rPr>
        <w:t xml:space="preserve"> CHARGES</w:t>
      </w:r>
    </w:p>
    <w:p w:rsidR="00281FEE" w:rsidRDefault="00281FEE" w:rsidP="00D95E85">
      <w:pPr>
        <w:jc w:val="both"/>
        <w:rPr>
          <w:sz w:val="24"/>
          <w:szCs w:val="24"/>
        </w:rPr>
      </w:pPr>
    </w:p>
    <w:p w:rsidR="006E5041" w:rsidRPr="00877EC0" w:rsidRDefault="006E5041" w:rsidP="00D95E85">
      <w:pPr>
        <w:jc w:val="both"/>
        <w:rPr>
          <w:sz w:val="24"/>
          <w:szCs w:val="24"/>
        </w:rPr>
      </w:pPr>
    </w:p>
    <w:p w:rsidR="00D95E85" w:rsidRDefault="00D95E85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ab/>
      </w:r>
      <w:r w:rsidRPr="00734C82">
        <w:rPr>
          <w:b/>
          <w:sz w:val="24"/>
          <w:szCs w:val="24"/>
        </w:rPr>
        <w:t>WHEREAS</w:t>
      </w:r>
      <w:r w:rsidRPr="00877EC0">
        <w:rPr>
          <w:sz w:val="24"/>
          <w:szCs w:val="24"/>
        </w:rPr>
        <w:t xml:space="preserve">, </w:t>
      </w:r>
      <w:r w:rsidR="00F568A2" w:rsidRPr="00877EC0">
        <w:rPr>
          <w:sz w:val="24"/>
          <w:szCs w:val="24"/>
        </w:rPr>
        <w:t>the District has establish</w:t>
      </w:r>
      <w:r w:rsidR="00384505">
        <w:rPr>
          <w:sz w:val="24"/>
          <w:szCs w:val="24"/>
        </w:rPr>
        <w:t>ed</w:t>
      </w:r>
      <w:r w:rsidR="00F568A2" w:rsidRPr="00877EC0">
        <w:rPr>
          <w:sz w:val="24"/>
          <w:szCs w:val="24"/>
        </w:rPr>
        <w:t xml:space="preserve"> Water Service </w:t>
      </w:r>
      <w:r w:rsidR="00A15EE0">
        <w:rPr>
          <w:sz w:val="24"/>
          <w:szCs w:val="24"/>
        </w:rPr>
        <w:t>and Sewer Capacity</w:t>
      </w:r>
      <w:r w:rsidR="00F568A2" w:rsidRPr="00877EC0">
        <w:rPr>
          <w:sz w:val="24"/>
          <w:szCs w:val="24"/>
        </w:rPr>
        <w:t xml:space="preserve"> Charges, as set</w:t>
      </w:r>
      <w:r w:rsidR="00A15EE0">
        <w:rPr>
          <w:sz w:val="24"/>
          <w:szCs w:val="24"/>
        </w:rPr>
        <w:t xml:space="preserve"> forth in Title 7, Section 7-3-2</w:t>
      </w:r>
      <w:r w:rsidR="00F568A2" w:rsidRPr="00877EC0">
        <w:rPr>
          <w:sz w:val="24"/>
          <w:szCs w:val="24"/>
        </w:rPr>
        <w:t xml:space="preserve"> and Title </w:t>
      </w:r>
      <w:r w:rsidR="00182ABA">
        <w:rPr>
          <w:sz w:val="24"/>
          <w:szCs w:val="24"/>
        </w:rPr>
        <w:t xml:space="preserve">9, </w:t>
      </w:r>
      <w:r w:rsidR="00A15EE0">
        <w:rPr>
          <w:sz w:val="24"/>
          <w:szCs w:val="24"/>
        </w:rPr>
        <w:t xml:space="preserve">Section </w:t>
      </w:r>
      <w:r w:rsidR="006E16F7">
        <w:rPr>
          <w:sz w:val="24"/>
          <w:szCs w:val="24"/>
        </w:rPr>
        <w:t>9-5-2</w:t>
      </w:r>
      <w:r w:rsidR="00182ABA">
        <w:rPr>
          <w:sz w:val="24"/>
          <w:szCs w:val="24"/>
        </w:rPr>
        <w:t xml:space="preserve"> </w:t>
      </w:r>
      <w:r w:rsidR="00384505">
        <w:rPr>
          <w:sz w:val="24"/>
          <w:szCs w:val="24"/>
        </w:rPr>
        <w:t>,</w:t>
      </w:r>
      <w:r w:rsidR="00F568A2" w:rsidRPr="00877EC0">
        <w:rPr>
          <w:sz w:val="24"/>
          <w:szCs w:val="24"/>
        </w:rPr>
        <w:t>respectively</w:t>
      </w:r>
      <w:r w:rsidR="00DB4DAC">
        <w:rPr>
          <w:sz w:val="24"/>
          <w:szCs w:val="24"/>
        </w:rPr>
        <w:t>,</w:t>
      </w:r>
      <w:r w:rsidR="00F568A2" w:rsidRPr="00877EC0">
        <w:rPr>
          <w:sz w:val="24"/>
          <w:szCs w:val="24"/>
        </w:rPr>
        <w:t xml:space="preserve"> of the District’s Ordinance Code; and</w:t>
      </w:r>
    </w:p>
    <w:p w:rsidR="00CB652A" w:rsidRPr="00877EC0" w:rsidRDefault="00CB652A" w:rsidP="00D95E85">
      <w:pPr>
        <w:jc w:val="both"/>
        <w:rPr>
          <w:sz w:val="24"/>
          <w:szCs w:val="24"/>
        </w:rPr>
      </w:pPr>
    </w:p>
    <w:p w:rsidR="00F568A2" w:rsidRDefault="00F568A2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ab/>
      </w:r>
      <w:r w:rsidRPr="00734C82">
        <w:rPr>
          <w:b/>
          <w:sz w:val="24"/>
          <w:szCs w:val="24"/>
        </w:rPr>
        <w:t>WHEREAS,</w:t>
      </w:r>
      <w:r w:rsidRPr="00877EC0">
        <w:rPr>
          <w:sz w:val="24"/>
          <w:szCs w:val="24"/>
        </w:rPr>
        <w:t xml:space="preserve"> Title 1, Section 1-2-3 of the District’s Ordinance Code authorizes the District to revise established fees</w:t>
      </w:r>
      <w:r w:rsidR="00A15EE0">
        <w:rPr>
          <w:sz w:val="24"/>
          <w:szCs w:val="24"/>
        </w:rPr>
        <w:t>, including service</w:t>
      </w:r>
      <w:r w:rsidR="00CB652A">
        <w:rPr>
          <w:sz w:val="24"/>
          <w:szCs w:val="24"/>
        </w:rPr>
        <w:t xml:space="preserve"> fees,</w:t>
      </w:r>
      <w:r w:rsidRPr="00877EC0">
        <w:rPr>
          <w:sz w:val="24"/>
          <w:szCs w:val="24"/>
        </w:rPr>
        <w:t xml:space="preserve"> by Resolution of the Board of Directors; and</w:t>
      </w:r>
    </w:p>
    <w:p w:rsidR="00281FEE" w:rsidRPr="00877EC0" w:rsidRDefault="00281FEE" w:rsidP="00D95E85">
      <w:pPr>
        <w:jc w:val="both"/>
        <w:rPr>
          <w:sz w:val="24"/>
          <w:szCs w:val="24"/>
        </w:rPr>
      </w:pPr>
    </w:p>
    <w:p w:rsidR="00F568A2" w:rsidRDefault="00F568A2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ab/>
      </w:r>
      <w:r w:rsidRPr="00734C82">
        <w:rPr>
          <w:b/>
          <w:sz w:val="24"/>
          <w:szCs w:val="24"/>
        </w:rPr>
        <w:t>WHEREAS,</w:t>
      </w:r>
      <w:r w:rsidR="00A15EE0">
        <w:rPr>
          <w:sz w:val="24"/>
          <w:szCs w:val="24"/>
        </w:rPr>
        <w:t xml:space="preserve"> Provost and Pritchard Consulting Group </w:t>
      </w:r>
      <w:r w:rsidRPr="00877EC0">
        <w:rPr>
          <w:sz w:val="24"/>
          <w:szCs w:val="24"/>
        </w:rPr>
        <w:t>has conducted a</w:t>
      </w:r>
      <w:r w:rsidR="00877EC0" w:rsidRPr="00877EC0">
        <w:rPr>
          <w:sz w:val="24"/>
          <w:szCs w:val="24"/>
        </w:rPr>
        <w:t>n</w:t>
      </w:r>
      <w:r w:rsidRPr="00877EC0">
        <w:rPr>
          <w:sz w:val="24"/>
          <w:szCs w:val="24"/>
        </w:rPr>
        <w:t xml:space="preserve"> investigation </w:t>
      </w:r>
      <w:r w:rsidR="00A15EE0">
        <w:rPr>
          <w:sz w:val="24"/>
          <w:szCs w:val="24"/>
        </w:rPr>
        <w:t xml:space="preserve">on behalf of the District </w:t>
      </w:r>
      <w:r w:rsidR="002207B3">
        <w:rPr>
          <w:sz w:val="24"/>
          <w:szCs w:val="24"/>
        </w:rPr>
        <w:t>regarding</w:t>
      </w:r>
      <w:r w:rsidR="00A57735">
        <w:rPr>
          <w:sz w:val="24"/>
          <w:szCs w:val="24"/>
        </w:rPr>
        <w:t xml:space="preserve"> </w:t>
      </w:r>
      <w:r w:rsidR="00A15EE0">
        <w:rPr>
          <w:sz w:val="24"/>
          <w:szCs w:val="24"/>
        </w:rPr>
        <w:t>costs associated with providing capacity for water and wastewater services, as set forth in a Tec</w:t>
      </w:r>
      <w:r w:rsidR="002207B3">
        <w:rPr>
          <w:sz w:val="24"/>
          <w:szCs w:val="24"/>
        </w:rPr>
        <w:t>hnical Memorandum dated July 6</w:t>
      </w:r>
      <w:r w:rsidR="00A15EE0">
        <w:rPr>
          <w:sz w:val="24"/>
          <w:szCs w:val="24"/>
        </w:rPr>
        <w:t xml:space="preserve">, 2016, a copy of which is on file at the District, </w:t>
      </w:r>
      <w:r w:rsidRPr="00877EC0">
        <w:rPr>
          <w:sz w:val="24"/>
          <w:szCs w:val="24"/>
        </w:rPr>
        <w:t>and has made recommendations as set forth in Paragraph 2 below to modify said charges,</w:t>
      </w:r>
      <w:r w:rsidR="00A15EE0">
        <w:rPr>
          <w:sz w:val="24"/>
          <w:szCs w:val="24"/>
        </w:rPr>
        <w:t xml:space="preserve"> and establish that such charges</w:t>
      </w:r>
      <w:r w:rsidRPr="00877EC0">
        <w:rPr>
          <w:sz w:val="24"/>
          <w:szCs w:val="24"/>
        </w:rPr>
        <w:t xml:space="preserve"> </w:t>
      </w:r>
      <w:r w:rsidR="00A57735">
        <w:rPr>
          <w:sz w:val="24"/>
          <w:szCs w:val="24"/>
        </w:rPr>
        <w:t xml:space="preserve">do </w:t>
      </w:r>
      <w:r w:rsidRPr="00877EC0">
        <w:rPr>
          <w:sz w:val="24"/>
          <w:szCs w:val="24"/>
        </w:rPr>
        <w:t>not exceed the estimated co</w:t>
      </w:r>
      <w:r w:rsidR="00F56836">
        <w:rPr>
          <w:sz w:val="24"/>
          <w:szCs w:val="24"/>
        </w:rPr>
        <w:t xml:space="preserve">st to provide capacity </w:t>
      </w:r>
      <w:r w:rsidR="00DB4DAC">
        <w:rPr>
          <w:sz w:val="24"/>
          <w:szCs w:val="24"/>
        </w:rPr>
        <w:t>for such services</w:t>
      </w:r>
      <w:r w:rsidR="00F56836">
        <w:rPr>
          <w:sz w:val="24"/>
          <w:szCs w:val="24"/>
        </w:rPr>
        <w:t xml:space="preserve">; </w:t>
      </w:r>
      <w:r w:rsidRPr="00877EC0">
        <w:rPr>
          <w:sz w:val="24"/>
          <w:szCs w:val="24"/>
        </w:rPr>
        <w:t>and</w:t>
      </w:r>
    </w:p>
    <w:p w:rsidR="00281FEE" w:rsidRPr="00877EC0" w:rsidRDefault="00281FEE" w:rsidP="00D95E85">
      <w:pPr>
        <w:jc w:val="both"/>
        <w:rPr>
          <w:sz w:val="24"/>
          <w:szCs w:val="24"/>
        </w:rPr>
      </w:pPr>
    </w:p>
    <w:p w:rsidR="00F568A2" w:rsidRPr="00877EC0" w:rsidRDefault="00F568A2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ab/>
      </w:r>
      <w:r w:rsidRPr="00734C82">
        <w:rPr>
          <w:b/>
          <w:sz w:val="24"/>
          <w:szCs w:val="24"/>
        </w:rPr>
        <w:t>WHEREAS,</w:t>
      </w:r>
      <w:r w:rsidRPr="00877EC0">
        <w:rPr>
          <w:sz w:val="24"/>
          <w:szCs w:val="24"/>
        </w:rPr>
        <w:t xml:space="preserve"> Government Code Sections 66013 and 66016 authorizes local agencies such as this District to</w:t>
      </w:r>
      <w:r w:rsidR="00F56836">
        <w:rPr>
          <w:sz w:val="24"/>
          <w:szCs w:val="24"/>
        </w:rPr>
        <w:t>,</w:t>
      </w:r>
      <w:r w:rsidRPr="00877EC0">
        <w:rPr>
          <w:sz w:val="24"/>
          <w:szCs w:val="24"/>
        </w:rPr>
        <w:t xml:space="preserve"> </w:t>
      </w:r>
      <w:r w:rsidR="00286E5D" w:rsidRPr="00877EC0">
        <w:rPr>
          <w:sz w:val="24"/>
          <w:szCs w:val="24"/>
        </w:rPr>
        <w:t>by resolution</w:t>
      </w:r>
      <w:r w:rsidR="00F56836">
        <w:rPr>
          <w:sz w:val="24"/>
          <w:szCs w:val="24"/>
        </w:rPr>
        <w:t>,</w:t>
      </w:r>
      <w:r w:rsidR="00286E5D" w:rsidRPr="00877EC0">
        <w:rPr>
          <w:sz w:val="24"/>
          <w:szCs w:val="24"/>
        </w:rPr>
        <w:t xml:space="preserve"> </w:t>
      </w:r>
      <w:r w:rsidRPr="00877EC0">
        <w:rPr>
          <w:sz w:val="24"/>
          <w:szCs w:val="24"/>
        </w:rPr>
        <w:t>inc</w:t>
      </w:r>
      <w:r w:rsidR="00A15EE0">
        <w:rPr>
          <w:sz w:val="24"/>
          <w:szCs w:val="24"/>
        </w:rPr>
        <w:t>rease water and sewer capacity</w:t>
      </w:r>
      <w:r w:rsidRPr="00877EC0">
        <w:rPr>
          <w:sz w:val="24"/>
          <w:szCs w:val="24"/>
        </w:rPr>
        <w:t xml:space="preserve"> charges upon following certain procedures therein specified</w:t>
      </w:r>
      <w:r w:rsidR="00286E5D" w:rsidRPr="00877EC0">
        <w:rPr>
          <w:sz w:val="24"/>
          <w:szCs w:val="24"/>
        </w:rPr>
        <w:t>,</w:t>
      </w:r>
      <w:r w:rsidRPr="00877EC0">
        <w:rPr>
          <w:sz w:val="24"/>
          <w:szCs w:val="24"/>
        </w:rPr>
        <w:t xml:space="preserve"> and the </w:t>
      </w:r>
      <w:r w:rsidR="00286E5D" w:rsidRPr="00877EC0">
        <w:rPr>
          <w:sz w:val="24"/>
          <w:szCs w:val="24"/>
        </w:rPr>
        <w:t xml:space="preserve">District’s staff has timely </w:t>
      </w:r>
      <w:r w:rsidR="00877EC0" w:rsidRPr="00877EC0">
        <w:rPr>
          <w:sz w:val="24"/>
          <w:szCs w:val="24"/>
        </w:rPr>
        <w:t>made these proposed increases to</w:t>
      </w:r>
      <w:r w:rsidR="00286E5D" w:rsidRPr="00877EC0">
        <w:rPr>
          <w:sz w:val="24"/>
          <w:szCs w:val="24"/>
        </w:rPr>
        <w:t xml:space="preserve"> such charges available to the public for review as</w:t>
      </w:r>
      <w:r w:rsidR="00877EC0" w:rsidRPr="00877EC0">
        <w:rPr>
          <w:sz w:val="24"/>
          <w:szCs w:val="24"/>
        </w:rPr>
        <w:t xml:space="preserve"> provided by law</w:t>
      </w:r>
      <w:r w:rsidR="00286E5D" w:rsidRPr="00877EC0">
        <w:rPr>
          <w:sz w:val="24"/>
          <w:szCs w:val="24"/>
        </w:rPr>
        <w:t>.</w:t>
      </w:r>
    </w:p>
    <w:p w:rsidR="00286E5D" w:rsidRDefault="00286E5D" w:rsidP="00D95E85">
      <w:pPr>
        <w:jc w:val="both"/>
        <w:rPr>
          <w:sz w:val="24"/>
          <w:szCs w:val="24"/>
        </w:rPr>
      </w:pPr>
      <w:r w:rsidRPr="00877EC0">
        <w:rPr>
          <w:sz w:val="24"/>
          <w:szCs w:val="24"/>
        </w:rPr>
        <w:tab/>
        <w:t>NOW, THEREFORE, BE IT RESOLVED by this Board of Directors as follows:</w:t>
      </w:r>
    </w:p>
    <w:p w:rsidR="00281FEE" w:rsidRPr="00877EC0" w:rsidRDefault="00281FEE" w:rsidP="00D95E85">
      <w:pPr>
        <w:jc w:val="both"/>
        <w:rPr>
          <w:sz w:val="24"/>
          <w:szCs w:val="24"/>
        </w:rPr>
      </w:pPr>
    </w:p>
    <w:p w:rsidR="00286E5D" w:rsidRDefault="00286E5D" w:rsidP="00286E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7EC0">
        <w:rPr>
          <w:sz w:val="24"/>
          <w:szCs w:val="24"/>
        </w:rPr>
        <w:t>The foregoing recitals are true and correct.</w:t>
      </w:r>
    </w:p>
    <w:p w:rsidR="00281FEE" w:rsidRDefault="00281FEE" w:rsidP="00281FEE">
      <w:pPr>
        <w:pStyle w:val="ListParagraph"/>
        <w:jc w:val="both"/>
        <w:rPr>
          <w:sz w:val="24"/>
          <w:szCs w:val="24"/>
        </w:rPr>
      </w:pPr>
    </w:p>
    <w:p w:rsidR="00281FEE" w:rsidRPr="00877EC0" w:rsidRDefault="00281FEE" w:rsidP="00281FEE">
      <w:pPr>
        <w:pStyle w:val="ListParagraph"/>
        <w:jc w:val="both"/>
        <w:rPr>
          <w:sz w:val="24"/>
          <w:szCs w:val="24"/>
        </w:rPr>
      </w:pPr>
    </w:p>
    <w:p w:rsidR="00286E5D" w:rsidRDefault="00286E5D" w:rsidP="00286E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7EC0">
        <w:rPr>
          <w:sz w:val="24"/>
          <w:szCs w:val="24"/>
        </w:rPr>
        <w:t>The D</w:t>
      </w:r>
      <w:r w:rsidR="00A15EE0">
        <w:rPr>
          <w:sz w:val="24"/>
          <w:szCs w:val="24"/>
        </w:rPr>
        <w:t>istrict’s Water Service Capacity Charge and Sewer Capacity</w:t>
      </w:r>
      <w:r w:rsidRPr="00877EC0">
        <w:rPr>
          <w:sz w:val="24"/>
          <w:szCs w:val="24"/>
        </w:rPr>
        <w:t xml:space="preserve"> Charges shall forthwith be modified as follows:</w:t>
      </w:r>
    </w:p>
    <w:p w:rsidR="00281FEE" w:rsidRDefault="00281FEE" w:rsidP="00A65803">
      <w:pPr>
        <w:jc w:val="center"/>
        <w:outlineLvl w:val="0"/>
        <w:rPr>
          <w:rFonts w:cs="Arial"/>
          <w:sz w:val="24"/>
          <w:szCs w:val="24"/>
        </w:rPr>
      </w:pPr>
    </w:p>
    <w:p w:rsidR="00A65803" w:rsidRDefault="00A65803" w:rsidP="00A65803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Table 9 – Proposed Capacity Fees</w:t>
      </w:r>
    </w:p>
    <w:tbl>
      <w:tblPr>
        <w:tblW w:w="9382" w:type="dxa"/>
        <w:tblInd w:w="89" w:type="dxa"/>
        <w:tblLook w:val="04A0" w:firstRow="1" w:lastRow="0" w:firstColumn="1" w:lastColumn="0" w:noHBand="0" w:noVBand="1"/>
      </w:tblPr>
      <w:tblGrid>
        <w:gridCol w:w="2049"/>
        <w:gridCol w:w="924"/>
        <w:gridCol w:w="925"/>
        <w:gridCol w:w="925"/>
        <w:gridCol w:w="884"/>
        <w:gridCol w:w="1023"/>
        <w:gridCol w:w="1798"/>
        <w:gridCol w:w="959"/>
      </w:tblGrid>
      <w:tr w:rsidR="00A65803" w:rsidTr="00281FEE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SFU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vertAlign w:val="superscript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MFU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vertAlign w:val="superscript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Lodging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vertAlign w:val="superscript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Commercial or Industrial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vertAlign w:val="superscript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Water Capacity Fee by Meter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</w:rPr>
              <w:t>Meter Factor</w:t>
            </w:r>
          </w:p>
        </w:tc>
      </w:tr>
      <w:tr w:rsidR="00A65803" w:rsidTr="00281FEE">
        <w:trPr>
          <w:trHeight w:val="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(per 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(per 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(per 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Water Capacity Fee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$7,671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$6,137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$4,603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$30.68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 / Gallon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By Meter Size</w:t>
            </w:r>
            <w:r>
              <w:rPr>
                <w:rFonts w:eastAsia="Times New Roman" w:cs="Arial"/>
                <w:color w:val="000000"/>
                <w:sz w:val="20"/>
                <w:vertAlign w:val="superscript"/>
              </w:rPr>
              <w:t>5.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3/4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$7,671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1.00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$12,785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1.67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1-1/2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$25,570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3.33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2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$40,911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5.33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3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$76,709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10.00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4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$127,848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16.67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6 Inch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$255,696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33.33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5803" w:rsidRDefault="00A65803">
            <w:pPr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Wastewater Capacity Fee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$6,170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$4,936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$3,702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$30.85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 / Gallon</w:t>
            </w:r>
          </w:p>
        </w:tc>
        <w:tc>
          <w:tcPr>
            <w:tcW w:w="0" w:type="auto"/>
            <w:noWrap/>
            <w:vAlign w:val="bottom"/>
            <w:hideMark/>
          </w:tcPr>
          <w:p w:rsidR="00A65803" w:rsidRDefault="00A6580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803" w:rsidRDefault="00A65803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</w:tr>
      <w:tr w:rsidR="00A65803" w:rsidTr="00281FEE">
        <w:trPr>
          <w:trHeight w:val="2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803" w:rsidRDefault="00A65803" w:rsidP="00A658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Single Family Unit:  Per living unit for each single family detached dwellings</w:t>
            </w:r>
          </w:p>
          <w:p w:rsidR="00A65803" w:rsidRDefault="00A65803" w:rsidP="00A658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 xml:space="preserve">Multiple Family Unit:  Per living unit for duplex, triplex,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fourplex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 xml:space="preserve"> (etc.), apartment complexes, condominiums</w:t>
            </w:r>
          </w:p>
          <w:p w:rsidR="00A65803" w:rsidRDefault="00A65803" w:rsidP="00A658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 xml:space="preserve"> Lodging:  Per lodging unit for hotels</w:t>
            </w:r>
          </w:p>
          <w:p w:rsidR="00A65803" w:rsidRDefault="00F56836" w:rsidP="00A658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>Commercial or Industrial:  Non-</w:t>
            </w:r>
            <w:r w:rsidR="00A65803">
              <w:rPr>
                <w:rFonts w:cs="Arial"/>
                <w:sz w:val="24"/>
                <w:szCs w:val="24"/>
                <w:vertAlign w:val="superscript"/>
              </w:rPr>
              <w:t>residential use.  Flow determination to be based on fixture units as defined by the current edition of the Uniform Plumbing Code and converted to a SFU equivalent.</w:t>
            </w:r>
          </w:p>
          <w:p w:rsidR="00A65803" w:rsidRDefault="00A65803">
            <w:pPr>
              <w:pStyle w:val="ListParagraph"/>
              <w:rPr>
                <w:rFonts w:eastAsia="Calibri"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 xml:space="preserve">                                SFU Water = 250 gallons per day</w:t>
            </w:r>
          </w:p>
          <w:p w:rsidR="00A65803" w:rsidRDefault="00A65803">
            <w:pPr>
              <w:pStyle w:val="ListParagraph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t xml:space="preserve">                                SFU Wastewater = 200 gallons per day</w:t>
            </w:r>
          </w:p>
          <w:p w:rsidR="00A65803" w:rsidRDefault="00A65803">
            <w:pPr>
              <w:pStyle w:val="ListParagraph"/>
              <w:ind w:left="361"/>
            </w:pPr>
            <w:r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5.  Based on AWWA meter factors and represents the ratio of capacity of the meter compared to a 3/4 inch meter</w:t>
            </w:r>
          </w:p>
        </w:tc>
      </w:tr>
    </w:tbl>
    <w:p w:rsidR="00734C82" w:rsidRPr="00877EC0" w:rsidRDefault="00734C82" w:rsidP="00734C82">
      <w:pPr>
        <w:pStyle w:val="ListParagraph"/>
        <w:jc w:val="both"/>
        <w:rPr>
          <w:sz w:val="24"/>
          <w:szCs w:val="24"/>
        </w:rPr>
      </w:pPr>
    </w:p>
    <w:p w:rsidR="00286E5D" w:rsidRDefault="00286E5D" w:rsidP="00286E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7EC0">
        <w:rPr>
          <w:sz w:val="24"/>
          <w:szCs w:val="24"/>
        </w:rPr>
        <w:t>In all respects, except as modified above, the above reference</w:t>
      </w:r>
      <w:r w:rsidR="002207B3">
        <w:rPr>
          <w:sz w:val="24"/>
          <w:szCs w:val="24"/>
        </w:rPr>
        <w:t>d</w:t>
      </w:r>
      <w:r w:rsidRPr="00877EC0">
        <w:rPr>
          <w:sz w:val="24"/>
          <w:szCs w:val="24"/>
        </w:rPr>
        <w:t xml:space="preserve"> provisions of the District’s Ordinance Code with respect to said charges shall not be modified.</w:t>
      </w:r>
    </w:p>
    <w:p w:rsidR="00281FEE" w:rsidRPr="00877EC0" w:rsidRDefault="00281FEE" w:rsidP="00281FEE">
      <w:pPr>
        <w:pStyle w:val="ListParagraph"/>
        <w:jc w:val="both"/>
        <w:rPr>
          <w:sz w:val="24"/>
          <w:szCs w:val="24"/>
        </w:rPr>
      </w:pPr>
    </w:p>
    <w:p w:rsidR="00286E5D" w:rsidRPr="00877EC0" w:rsidRDefault="00286E5D" w:rsidP="00286E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77EC0">
        <w:rPr>
          <w:sz w:val="24"/>
          <w:szCs w:val="24"/>
        </w:rPr>
        <w:t>The District’s staff is authorized and directed to do all things necessary and proper to implement the foregoing.</w:t>
      </w:r>
    </w:p>
    <w:p w:rsidR="00281FEE" w:rsidRDefault="00281FEE" w:rsidP="00286E5D">
      <w:pPr>
        <w:pStyle w:val="NormalWeb"/>
        <w:ind w:left="720"/>
        <w:jc w:val="both"/>
        <w:rPr>
          <w:rFonts w:asciiTheme="minorHAnsi" w:hAnsiTheme="minorHAnsi" w:cs="Arial"/>
          <w:color w:val="000000"/>
        </w:rPr>
      </w:pPr>
    </w:p>
    <w:p w:rsidR="00286E5D" w:rsidRPr="00877EC0" w:rsidRDefault="00286E5D" w:rsidP="00286E5D">
      <w:pPr>
        <w:pStyle w:val="NormalWeb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 xml:space="preserve">ALL THE FOREGOING, being on motion of Director               , seconded by Director                          </w:t>
      </w:r>
      <w:r w:rsidRPr="00877EC0">
        <w:rPr>
          <w:rFonts w:asciiTheme="minorHAnsi" w:hAnsiTheme="minorHAnsi" w:cs="Arial"/>
          <w:color w:val="000000"/>
        </w:rPr>
        <w:tab/>
        <w:t xml:space="preserve">       and authorized by the following vote, to wit:</w:t>
      </w:r>
    </w:p>
    <w:p w:rsidR="00286E5D" w:rsidRPr="00877EC0" w:rsidRDefault="00286E5D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AYES:</w:t>
      </w:r>
      <w:r w:rsidRPr="00877EC0">
        <w:rPr>
          <w:rFonts w:asciiTheme="minorHAnsi" w:hAnsiTheme="minorHAnsi" w:cs="Arial"/>
          <w:color w:val="000000"/>
        </w:rPr>
        <w:tab/>
        <w:t xml:space="preserve"> </w:t>
      </w:r>
    </w:p>
    <w:p w:rsidR="00286E5D" w:rsidRPr="00877EC0" w:rsidRDefault="00286E5D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NOES:</w:t>
      </w:r>
      <w:r w:rsidRPr="00877EC0">
        <w:rPr>
          <w:rFonts w:asciiTheme="minorHAnsi" w:hAnsiTheme="minorHAnsi" w:cs="Arial"/>
          <w:color w:val="000000"/>
        </w:rPr>
        <w:tab/>
      </w:r>
    </w:p>
    <w:p w:rsidR="00286E5D" w:rsidRPr="00877EC0" w:rsidRDefault="00286E5D" w:rsidP="00286E5D">
      <w:pPr>
        <w:pStyle w:val="NormalWeb"/>
        <w:spacing w:before="0" w:beforeAutospacing="0" w:after="0"/>
        <w:ind w:firstLine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ABSENT:</w:t>
      </w:r>
    </w:p>
    <w:p w:rsidR="00286E5D" w:rsidRPr="00877EC0" w:rsidRDefault="00286E5D" w:rsidP="00286E5D">
      <w:pPr>
        <w:pStyle w:val="NormalWeb"/>
        <w:spacing w:before="0" w:beforeAutospacing="0" w:after="0"/>
        <w:ind w:left="360" w:firstLine="36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ABSTAIN:</w:t>
      </w:r>
    </w:p>
    <w:p w:rsidR="00286E5D" w:rsidRPr="00877EC0" w:rsidRDefault="00286E5D" w:rsidP="00286E5D">
      <w:pPr>
        <w:pStyle w:val="NormalWeb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I HEREBY CERTIFY that the foregoing Resolution is the Resolution of said District as duly passed and adopted by s</w:t>
      </w:r>
      <w:r w:rsidR="00A15EE0">
        <w:rPr>
          <w:rFonts w:asciiTheme="minorHAnsi" w:hAnsiTheme="minorHAnsi" w:cs="Arial"/>
          <w:color w:val="000000"/>
        </w:rPr>
        <w:t>aid Board of Directors on the 19th day of July</w:t>
      </w:r>
      <w:r w:rsidRPr="00877EC0">
        <w:rPr>
          <w:rFonts w:asciiTheme="minorHAnsi" w:hAnsiTheme="minorHAnsi" w:cs="Arial"/>
          <w:color w:val="000000"/>
        </w:rPr>
        <w:t>, 2016.</w:t>
      </w:r>
    </w:p>
    <w:p w:rsidR="00286E5D" w:rsidRPr="00877EC0" w:rsidRDefault="00286E5D" w:rsidP="00286E5D">
      <w:pPr>
        <w:pStyle w:val="NormalWeb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WITNESS my hand and seal of</w:t>
      </w:r>
      <w:r w:rsidR="00A15EE0">
        <w:rPr>
          <w:rFonts w:asciiTheme="minorHAnsi" w:hAnsiTheme="minorHAnsi" w:cs="Arial"/>
          <w:color w:val="000000"/>
        </w:rPr>
        <w:t xml:space="preserve"> said Board of Directors this 19th day of July</w:t>
      </w:r>
      <w:r w:rsidRPr="00877EC0">
        <w:rPr>
          <w:rFonts w:asciiTheme="minorHAnsi" w:hAnsiTheme="minorHAnsi" w:cs="Arial"/>
          <w:color w:val="000000"/>
        </w:rPr>
        <w:t>, 2016.</w:t>
      </w:r>
    </w:p>
    <w:p w:rsidR="00286E5D" w:rsidRPr="00877EC0" w:rsidRDefault="00286E5D" w:rsidP="00286E5D">
      <w:pPr>
        <w:pStyle w:val="NormalWeb"/>
        <w:spacing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_________________________</w:t>
      </w:r>
    </w:p>
    <w:p w:rsidR="00286E5D" w:rsidRPr="00877EC0" w:rsidRDefault="00286E5D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 xml:space="preserve">Clydell Lamkin, President                                                    </w:t>
      </w:r>
    </w:p>
    <w:p w:rsidR="00286E5D" w:rsidRPr="00877EC0" w:rsidRDefault="00286E5D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SSCSD Board of Directors</w:t>
      </w:r>
    </w:p>
    <w:p w:rsidR="00286E5D" w:rsidRPr="00877EC0" w:rsidRDefault="00286E5D" w:rsidP="00286E5D">
      <w:pPr>
        <w:pStyle w:val="NormalWeb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ATTEST:</w:t>
      </w:r>
    </w:p>
    <w:p w:rsidR="00286E5D" w:rsidRPr="00877EC0" w:rsidRDefault="00286E5D" w:rsidP="00286E5D">
      <w:pPr>
        <w:pStyle w:val="NormalWeb"/>
        <w:spacing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_________________________</w:t>
      </w:r>
    </w:p>
    <w:p w:rsidR="00DB4DAC" w:rsidRDefault="00DB4DAC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Lori Rodgers, Secretary</w:t>
      </w:r>
    </w:p>
    <w:p w:rsidR="00286E5D" w:rsidRPr="00877EC0" w:rsidRDefault="00286E5D" w:rsidP="00286E5D">
      <w:pPr>
        <w:pStyle w:val="NormalWeb"/>
        <w:spacing w:before="0" w:beforeAutospacing="0" w:after="0"/>
        <w:ind w:left="720"/>
        <w:jc w:val="both"/>
        <w:rPr>
          <w:rFonts w:asciiTheme="minorHAnsi" w:hAnsiTheme="minorHAnsi" w:cs="Arial"/>
          <w:color w:val="000000"/>
        </w:rPr>
      </w:pPr>
      <w:r w:rsidRPr="00877EC0">
        <w:rPr>
          <w:rFonts w:asciiTheme="minorHAnsi" w:hAnsiTheme="minorHAnsi" w:cs="Arial"/>
          <w:color w:val="000000"/>
        </w:rPr>
        <w:t>SSCSD Board of Directors</w:t>
      </w:r>
    </w:p>
    <w:p w:rsidR="00286E5D" w:rsidRPr="00877EC0" w:rsidRDefault="00286E5D" w:rsidP="00286E5D">
      <w:pPr>
        <w:jc w:val="both"/>
        <w:rPr>
          <w:sz w:val="24"/>
          <w:szCs w:val="24"/>
        </w:rPr>
      </w:pPr>
    </w:p>
    <w:p w:rsidR="00F568A2" w:rsidRDefault="00F568A2" w:rsidP="00D95E85">
      <w:pPr>
        <w:jc w:val="both"/>
      </w:pPr>
    </w:p>
    <w:p w:rsidR="00F568A2" w:rsidRDefault="00F568A2" w:rsidP="00D95E85">
      <w:pPr>
        <w:jc w:val="both"/>
      </w:pPr>
    </w:p>
    <w:sectPr w:rsidR="00F5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56"/>
    <w:multiLevelType w:val="hybridMultilevel"/>
    <w:tmpl w:val="3B02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6014"/>
    <w:multiLevelType w:val="hybridMultilevel"/>
    <w:tmpl w:val="2B7A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85"/>
    <w:rsid w:val="0006516F"/>
    <w:rsid w:val="001065D5"/>
    <w:rsid w:val="00182ABA"/>
    <w:rsid w:val="002207B3"/>
    <w:rsid w:val="00281FEE"/>
    <w:rsid w:val="00286E5D"/>
    <w:rsid w:val="002C3528"/>
    <w:rsid w:val="003115F7"/>
    <w:rsid w:val="00384505"/>
    <w:rsid w:val="00457236"/>
    <w:rsid w:val="00683963"/>
    <w:rsid w:val="0069181B"/>
    <w:rsid w:val="006C10A9"/>
    <w:rsid w:val="006E16F7"/>
    <w:rsid w:val="006E5041"/>
    <w:rsid w:val="00734C82"/>
    <w:rsid w:val="0074491C"/>
    <w:rsid w:val="007A4AC9"/>
    <w:rsid w:val="00877EC0"/>
    <w:rsid w:val="00A15EE0"/>
    <w:rsid w:val="00A57735"/>
    <w:rsid w:val="00A65803"/>
    <w:rsid w:val="00CB652A"/>
    <w:rsid w:val="00D95E85"/>
    <w:rsid w:val="00DB4DAC"/>
    <w:rsid w:val="00DE47DE"/>
    <w:rsid w:val="00E074E3"/>
    <w:rsid w:val="00E27B6A"/>
    <w:rsid w:val="00F56836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5D"/>
    <w:pPr>
      <w:ind w:left="720"/>
      <w:contextualSpacing/>
    </w:pPr>
  </w:style>
  <w:style w:type="table" w:styleId="TableGrid">
    <w:name w:val="Table Grid"/>
    <w:basedOn w:val="TableNormal"/>
    <w:uiPriority w:val="5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5D"/>
    <w:pPr>
      <w:ind w:left="720"/>
      <w:contextualSpacing/>
    </w:pPr>
  </w:style>
  <w:style w:type="table" w:styleId="TableGrid">
    <w:name w:val="Table Grid"/>
    <w:basedOn w:val="TableNormal"/>
    <w:uiPriority w:val="5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Conant</dc:creator>
  <cp:lastModifiedBy>Mike Grant</cp:lastModifiedBy>
  <cp:revision>2</cp:revision>
  <cp:lastPrinted>2016-07-07T18:19:00Z</cp:lastPrinted>
  <dcterms:created xsi:type="dcterms:W3CDTF">2016-09-13T16:55:00Z</dcterms:created>
  <dcterms:modified xsi:type="dcterms:W3CDTF">2016-09-13T16:55:00Z</dcterms:modified>
</cp:coreProperties>
</file>